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517F" w14:textId="77149BC0" w:rsidR="006D0441" w:rsidRPr="00AC370F" w:rsidRDefault="00396544" w:rsidP="006D0441">
      <w:pPr>
        <w:pStyle w:val="MainHeading"/>
        <w:spacing w:before="0"/>
        <w:ind w:right="684"/>
        <w:rPr>
          <w:b/>
          <w:color w:val="002060"/>
          <w:sz w:val="28"/>
          <w:szCs w:val="28"/>
        </w:rPr>
      </w:pPr>
      <w:bookmarkStart w:id="0" w:name="_Hlk39736398"/>
      <w:r>
        <w:rPr>
          <w:b/>
          <w:color w:val="002060"/>
          <w:sz w:val="28"/>
          <w:szCs w:val="28"/>
        </w:rPr>
        <w:t>IRS’ People First Initiative provide</w:t>
      </w:r>
      <w:r w:rsidR="00A709C5">
        <w:rPr>
          <w:b/>
          <w:color w:val="002060"/>
          <w:sz w:val="28"/>
          <w:szCs w:val="28"/>
        </w:rPr>
        <w:t>s</w:t>
      </w:r>
      <w:r>
        <w:rPr>
          <w:b/>
          <w:color w:val="002060"/>
          <w:sz w:val="28"/>
          <w:szCs w:val="28"/>
        </w:rPr>
        <w:t xml:space="preserve"> compliance relief</w:t>
      </w:r>
    </w:p>
    <w:bookmarkEnd w:id="0"/>
    <w:p w14:paraId="3A57FAB7" w14:textId="77777777" w:rsidR="00396544" w:rsidRPr="00396544" w:rsidRDefault="00396544" w:rsidP="00396544">
      <w:pPr>
        <w:pStyle w:val="BodyCopy"/>
        <w:rPr>
          <w:rFonts w:cs="Arial"/>
          <w:sz w:val="20"/>
          <w:lang w:val="en"/>
        </w:rPr>
      </w:pPr>
    </w:p>
    <w:p w14:paraId="5C3A0762" w14:textId="486240B1" w:rsidR="00396544" w:rsidRPr="00A709C5" w:rsidRDefault="00396544" w:rsidP="00396544">
      <w:pPr>
        <w:pStyle w:val="BodyCopy"/>
        <w:rPr>
          <w:rFonts w:cs="Arial"/>
          <w:sz w:val="20"/>
          <w:lang w:val="en"/>
        </w:rPr>
      </w:pPr>
      <w:r w:rsidRPr="00A709C5">
        <w:rPr>
          <w:rFonts w:cs="Arial"/>
          <w:sz w:val="20"/>
          <w:lang w:val="en"/>
        </w:rPr>
        <w:t>FS-2020-</w:t>
      </w:r>
      <w:r w:rsidR="00AA295B">
        <w:rPr>
          <w:rFonts w:cs="Arial"/>
          <w:sz w:val="20"/>
          <w:lang w:val="en"/>
        </w:rPr>
        <w:t>09</w:t>
      </w:r>
      <w:r w:rsidRPr="00A709C5">
        <w:rPr>
          <w:rFonts w:cs="Arial"/>
          <w:sz w:val="20"/>
          <w:lang w:val="en"/>
        </w:rPr>
        <w:t xml:space="preserve">, </w:t>
      </w:r>
      <w:r w:rsidR="00295366">
        <w:rPr>
          <w:rFonts w:cs="Arial"/>
          <w:sz w:val="20"/>
          <w:lang w:val="en"/>
        </w:rPr>
        <w:t>June</w:t>
      </w:r>
      <w:r w:rsidRPr="00A709C5">
        <w:rPr>
          <w:rFonts w:cs="Arial"/>
          <w:sz w:val="20"/>
          <w:lang w:val="en"/>
        </w:rPr>
        <w:t xml:space="preserve"> 2020</w:t>
      </w:r>
      <w:bookmarkStart w:id="1" w:name="_GoBack"/>
      <w:bookmarkEnd w:id="1"/>
    </w:p>
    <w:p w14:paraId="393A30B0" w14:textId="77777777" w:rsidR="00396544" w:rsidRPr="00A709C5" w:rsidRDefault="00396544" w:rsidP="00396544">
      <w:pPr>
        <w:pStyle w:val="BodyCopy"/>
        <w:rPr>
          <w:rFonts w:cs="Arial"/>
          <w:sz w:val="20"/>
          <w:lang w:val="en"/>
        </w:rPr>
      </w:pPr>
    </w:p>
    <w:p w14:paraId="086AB3F8" w14:textId="508D97BC" w:rsidR="00396544" w:rsidRPr="00A709C5" w:rsidRDefault="00396544" w:rsidP="00396544">
      <w:pPr>
        <w:pStyle w:val="BodyCopy"/>
        <w:rPr>
          <w:rFonts w:cs="Arial"/>
          <w:sz w:val="20"/>
          <w:lang w:val="en"/>
        </w:rPr>
      </w:pPr>
      <w:r w:rsidRPr="00A709C5">
        <w:rPr>
          <w:rFonts w:cs="Arial"/>
          <w:sz w:val="20"/>
          <w:lang w:val="en"/>
        </w:rPr>
        <w:t xml:space="preserve">The Internal Revenue Service unveiled the </w:t>
      </w:r>
      <w:hyperlink r:id="rId10" w:history="1">
        <w:r w:rsidRPr="00A709C5">
          <w:rPr>
            <w:rStyle w:val="Hyperlink"/>
            <w:rFonts w:cs="Arial"/>
            <w:sz w:val="20"/>
            <w:lang w:val="en"/>
          </w:rPr>
          <w:t>People First Initiative</w:t>
        </w:r>
      </w:hyperlink>
      <w:r w:rsidRPr="00A709C5">
        <w:rPr>
          <w:rFonts w:cs="Arial"/>
          <w:sz w:val="20"/>
          <w:lang w:val="en"/>
        </w:rPr>
        <w:t xml:space="preserve"> on March 25, 2020. It is an unprecedented effort to temporarily scale back many collection and enforcement activities by the IRS during the COVID-19 global pandemic.</w:t>
      </w:r>
    </w:p>
    <w:p w14:paraId="0086F761" w14:textId="77777777" w:rsidR="00396544" w:rsidRPr="00A709C5" w:rsidRDefault="00396544" w:rsidP="00396544">
      <w:pPr>
        <w:pStyle w:val="BodyCopy"/>
        <w:rPr>
          <w:rFonts w:cs="Arial"/>
          <w:sz w:val="20"/>
          <w:lang w:val="en"/>
        </w:rPr>
      </w:pPr>
    </w:p>
    <w:p w14:paraId="338A70D0" w14:textId="1021BF36" w:rsidR="00396544" w:rsidRPr="00A709C5" w:rsidRDefault="00396544" w:rsidP="00396544">
      <w:pPr>
        <w:pStyle w:val="BodyCopy"/>
        <w:rPr>
          <w:rFonts w:cs="Arial"/>
          <w:sz w:val="20"/>
          <w:lang w:val="en"/>
        </w:rPr>
      </w:pPr>
      <w:r w:rsidRPr="00A709C5">
        <w:rPr>
          <w:rFonts w:cs="Arial"/>
          <w:sz w:val="20"/>
          <w:lang w:val="en"/>
        </w:rPr>
        <w:t xml:space="preserve">The purpose of the </w:t>
      </w:r>
      <w:hyperlink r:id="rId11" w:history="1">
        <w:r w:rsidRPr="00A709C5">
          <w:rPr>
            <w:rStyle w:val="Hyperlink"/>
            <w:rFonts w:cs="Arial"/>
            <w:sz w:val="20"/>
            <w:lang w:val="en"/>
          </w:rPr>
          <w:t>People First Initiative</w:t>
        </w:r>
      </w:hyperlink>
      <w:r w:rsidRPr="00A709C5">
        <w:rPr>
          <w:rFonts w:cs="Arial"/>
          <w:sz w:val="20"/>
          <w:lang w:val="en"/>
        </w:rPr>
        <w:t xml:space="preserve"> is to immediately ease the burden on people facing tax issues as much as possible, to enable them to better focus on the well-being of themselves and others during this unprecedented situation for the nation</w:t>
      </w:r>
      <w:r w:rsidR="00C7093E" w:rsidRPr="00A709C5">
        <w:rPr>
          <w:rFonts w:cs="Arial"/>
          <w:sz w:val="20"/>
          <w:lang w:val="en"/>
        </w:rPr>
        <w:t>. It i</w:t>
      </w:r>
      <w:r w:rsidRPr="00A709C5">
        <w:rPr>
          <w:rFonts w:cs="Arial"/>
          <w:sz w:val="20"/>
          <w:lang w:val="en"/>
        </w:rPr>
        <w:t>s not permanent, but it will stay in effect until it is deemed to no longer be needed.</w:t>
      </w:r>
    </w:p>
    <w:p w14:paraId="61169DB9" w14:textId="77777777" w:rsidR="00396544" w:rsidRPr="00A709C5" w:rsidRDefault="00396544" w:rsidP="00396544">
      <w:pPr>
        <w:pStyle w:val="BodyCopy"/>
        <w:rPr>
          <w:rFonts w:cs="Arial"/>
          <w:sz w:val="20"/>
          <w:lang w:val="en"/>
        </w:rPr>
      </w:pPr>
    </w:p>
    <w:p w14:paraId="3BADAAF5" w14:textId="749AD382" w:rsidR="00396544" w:rsidRPr="00A709C5" w:rsidRDefault="00396544" w:rsidP="00396544">
      <w:pPr>
        <w:pStyle w:val="BodyCopy"/>
        <w:rPr>
          <w:rFonts w:cs="Arial"/>
          <w:sz w:val="20"/>
          <w:lang w:val="en"/>
        </w:rPr>
      </w:pPr>
      <w:r w:rsidRPr="00A709C5">
        <w:rPr>
          <w:rFonts w:cs="Arial"/>
          <w:sz w:val="20"/>
          <w:lang w:val="en"/>
        </w:rPr>
        <w:t>In consultation with its partners, the IRS will continue to review the People First Initiative and modify or expand it as needed during this situation.</w:t>
      </w:r>
      <w:r w:rsidR="004E29AC">
        <w:rPr>
          <w:rFonts w:cs="Arial"/>
          <w:sz w:val="20"/>
          <w:lang w:val="en"/>
        </w:rPr>
        <w:t xml:space="preserve"> </w:t>
      </w:r>
    </w:p>
    <w:p w14:paraId="1084504C" w14:textId="77777777" w:rsidR="00396544" w:rsidRPr="00A709C5" w:rsidRDefault="00396544" w:rsidP="00396544">
      <w:pPr>
        <w:pStyle w:val="BodyCopy"/>
        <w:rPr>
          <w:rFonts w:cs="Arial"/>
          <w:sz w:val="20"/>
          <w:lang w:val="en"/>
        </w:rPr>
      </w:pPr>
    </w:p>
    <w:p w14:paraId="3F093E8A" w14:textId="71613BF8" w:rsidR="00396544" w:rsidRPr="00A709C5" w:rsidRDefault="00396544" w:rsidP="00396544">
      <w:pPr>
        <w:pStyle w:val="BodyCopy"/>
        <w:rPr>
          <w:rFonts w:cs="Arial"/>
          <w:b/>
          <w:bCs/>
          <w:sz w:val="20"/>
          <w:lang w:val="en"/>
        </w:rPr>
      </w:pPr>
      <w:r w:rsidRPr="00A709C5">
        <w:rPr>
          <w:rFonts w:cs="Arial"/>
          <w:b/>
          <w:bCs/>
          <w:sz w:val="20"/>
          <w:lang w:val="en"/>
        </w:rPr>
        <w:t xml:space="preserve">Main Elements of </w:t>
      </w:r>
      <w:hyperlink r:id="rId12" w:history="1">
        <w:r w:rsidRPr="00A709C5">
          <w:rPr>
            <w:rStyle w:val="Hyperlink"/>
            <w:rFonts w:cs="Arial"/>
            <w:b/>
            <w:bCs/>
            <w:sz w:val="20"/>
            <w:lang w:val="en"/>
          </w:rPr>
          <w:t>People First</w:t>
        </w:r>
        <w:r w:rsidR="00C7093E" w:rsidRPr="00A709C5">
          <w:rPr>
            <w:rStyle w:val="Hyperlink"/>
            <w:rFonts w:cs="Arial"/>
            <w:b/>
            <w:bCs/>
            <w:sz w:val="20"/>
            <w:lang w:val="en"/>
          </w:rPr>
          <w:t xml:space="preserve"> Initiative</w:t>
        </w:r>
      </w:hyperlink>
    </w:p>
    <w:p w14:paraId="0160F2EE" w14:textId="4B737F3C" w:rsidR="00396544" w:rsidRPr="00A709C5" w:rsidRDefault="00396544" w:rsidP="00396544">
      <w:pPr>
        <w:pStyle w:val="BodyCopy"/>
        <w:rPr>
          <w:rFonts w:cs="Arial"/>
          <w:sz w:val="20"/>
          <w:lang w:val="en"/>
        </w:rPr>
      </w:pPr>
      <w:r w:rsidRPr="00A709C5">
        <w:rPr>
          <w:rFonts w:cs="Arial"/>
          <w:sz w:val="20"/>
          <w:lang w:val="en"/>
        </w:rPr>
        <w:t xml:space="preserve">The </w:t>
      </w:r>
      <w:r w:rsidR="00C7093E" w:rsidRPr="00A709C5">
        <w:rPr>
          <w:rFonts w:cs="Arial"/>
          <w:sz w:val="20"/>
          <w:lang w:val="en"/>
        </w:rPr>
        <w:t xml:space="preserve">inititative </w:t>
      </w:r>
      <w:r w:rsidRPr="00A709C5">
        <w:rPr>
          <w:rFonts w:cs="Arial"/>
          <w:sz w:val="20"/>
          <w:lang w:val="en"/>
        </w:rPr>
        <w:t>modifies numerous IRS compliance programs, providing taxpayer relief for the following programs</w:t>
      </w:r>
      <w:r w:rsidR="004E29AC">
        <w:rPr>
          <w:rFonts w:cs="Arial"/>
          <w:sz w:val="20"/>
          <w:lang w:val="en"/>
        </w:rPr>
        <w:t>:</w:t>
      </w:r>
    </w:p>
    <w:p w14:paraId="7F543E7E" w14:textId="77777777" w:rsidR="00396544" w:rsidRPr="00A709C5" w:rsidRDefault="00396544" w:rsidP="00C7093E">
      <w:pPr>
        <w:pStyle w:val="BodyCopy"/>
        <w:rPr>
          <w:rFonts w:cs="Arial"/>
          <w:sz w:val="20"/>
          <w:lang w:val="en"/>
        </w:rPr>
      </w:pPr>
    </w:p>
    <w:p w14:paraId="5DEE6427" w14:textId="5B08C4F9" w:rsidR="00396544" w:rsidRPr="00A709C5" w:rsidRDefault="00396544" w:rsidP="00C7093E">
      <w:pPr>
        <w:pStyle w:val="BodyCopy"/>
        <w:numPr>
          <w:ilvl w:val="0"/>
          <w:numId w:val="4"/>
        </w:numPr>
        <w:rPr>
          <w:rFonts w:cs="Arial"/>
          <w:sz w:val="20"/>
          <w:lang w:val="en"/>
        </w:rPr>
      </w:pPr>
      <w:r w:rsidRPr="00A709C5">
        <w:rPr>
          <w:rFonts w:cs="Arial"/>
          <w:sz w:val="20"/>
          <w:lang w:val="en"/>
        </w:rPr>
        <w:t>Existing Installment Agreements</w:t>
      </w:r>
    </w:p>
    <w:p w14:paraId="1D8525A1" w14:textId="71978397" w:rsidR="00396544" w:rsidRPr="00A709C5" w:rsidRDefault="00396544" w:rsidP="00C7093E">
      <w:pPr>
        <w:pStyle w:val="BodyCopy"/>
        <w:numPr>
          <w:ilvl w:val="0"/>
          <w:numId w:val="4"/>
        </w:numPr>
        <w:rPr>
          <w:rFonts w:cs="Arial"/>
          <w:sz w:val="20"/>
          <w:lang w:val="en"/>
        </w:rPr>
      </w:pPr>
      <w:r w:rsidRPr="00A709C5">
        <w:rPr>
          <w:rFonts w:cs="Arial"/>
          <w:sz w:val="20"/>
          <w:lang w:val="en"/>
        </w:rPr>
        <w:t>New Installment Agreements</w:t>
      </w:r>
    </w:p>
    <w:p w14:paraId="180155D3" w14:textId="5CA021A7" w:rsidR="00396544" w:rsidRPr="00A709C5" w:rsidRDefault="00396544" w:rsidP="00C7093E">
      <w:pPr>
        <w:pStyle w:val="BodyCopy"/>
        <w:numPr>
          <w:ilvl w:val="0"/>
          <w:numId w:val="4"/>
        </w:numPr>
        <w:rPr>
          <w:rFonts w:cs="Arial"/>
          <w:sz w:val="20"/>
          <w:lang w:val="en"/>
        </w:rPr>
      </w:pPr>
      <w:r w:rsidRPr="00A709C5">
        <w:rPr>
          <w:rFonts w:cs="Arial"/>
          <w:sz w:val="20"/>
          <w:lang w:val="en"/>
        </w:rPr>
        <w:t>Offers in Compromise (OIC)</w:t>
      </w:r>
    </w:p>
    <w:p w14:paraId="06464C4F" w14:textId="0637EFCB" w:rsidR="00396544" w:rsidRPr="00A709C5" w:rsidRDefault="00396544" w:rsidP="00C7093E">
      <w:pPr>
        <w:pStyle w:val="BodyCopy"/>
        <w:numPr>
          <w:ilvl w:val="1"/>
          <w:numId w:val="4"/>
        </w:numPr>
        <w:rPr>
          <w:rFonts w:cs="Arial"/>
          <w:sz w:val="20"/>
          <w:lang w:val="en"/>
        </w:rPr>
      </w:pPr>
      <w:r w:rsidRPr="00A709C5">
        <w:rPr>
          <w:rFonts w:cs="Arial"/>
          <w:sz w:val="20"/>
          <w:lang w:val="en"/>
        </w:rPr>
        <w:t>Pending OIC applications</w:t>
      </w:r>
    </w:p>
    <w:p w14:paraId="51EA1F35" w14:textId="37934387" w:rsidR="00396544" w:rsidRPr="00A709C5" w:rsidRDefault="00396544" w:rsidP="00C7093E">
      <w:pPr>
        <w:pStyle w:val="BodyCopy"/>
        <w:numPr>
          <w:ilvl w:val="1"/>
          <w:numId w:val="4"/>
        </w:numPr>
        <w:rPr>
          <w:rFonts w:cs="Arial"/>
          <w:sz w:val="20"/>
          <w:lang w:val="en"/>
        </w:rPr>
      </w:pPr>
      <w:r w:rsidRPr="00A709C5">
        <w:rPr>
          <w:rFonts w:cs="Arial"/>
          <w:sz w:val="20"/>
          <w:lang w:val="en"/>
        </w:rPr>
        <w:t>OIC Payments</w:t>
      </w:r>
    </w:p>
    <w:p w14:paraId="1DBC0A0D" w14:textId="27926FA1" w:rsidR="00396544" w:rsidRPr="00A709C5" w:rsidRDefault="00396544" w:rsidP="00C7093E">
      <w:pPr>
        <w:pStyle w:val="BodyCopy"/>
        <w:numPr>
          <w:ilvl w:val="1"/>
          <w:numId w:val="4"/>
        </w:numPr>
        <w:rPr>
          <w:rFonts w:cs="Arial"/>
          <w:sz w:val="20"/>
          <w:lang w:val="en"/>
        </w:rPr>
      </w:pPr>
      <w:r w:rsidRPr="00A709C5">
        <w:rPr>
          <w:rFonts w:cs="Arial"/>
          <w:sz w:val="20"/>
          <w:lang w:val="en"/>
        </w:rPr>
        <w:t>Delinquent Return Filings</w:t>
      </w:r>
    </w:p>
    <w:p w14:paraId="51DA4760" w14:textId="37D1484F" w:rsidR="00396544" w:rsidRPr="00A709C5" w:rsidRDefault="00396544" w:rsidP="00C7093E">
      <w:pPr>
        <w:pStyle w:val="BodyCopy"/>
        <w:numPr>
          <w:ilvl w:val="1"/>
          <w:numId w:val="4"/>
        </w:numPr>
        <w:rPr>
          <w:rFonts w:cs="Arial"/>
          <w:sz w:val="20"/>
          <w:lang w:val="en"/>
        </w:rPr>
      </w:pPr>
      <w:r w:rsidRPr="00A709C5">
        <w:rPr>
          <w:rFonts w:cs="Arial"/>
          <w:sz w:val="20"/>
          <w:lang w:val="en"/>
        </w:rPr>
        <w:t>New OIC Applications</w:t>
      </w:r>
    </w:p>
    <w:p w14:paraId="3DF0FF9F" w14:textId="72CFC9D9" w:rsidR="00396544" w:rsidRPr="00A709C5" w:rsidRDefault="00396544" w:rsidP="00C7093E">
      <w:pPr>
        <w:pStyle w:val="BodyCopy"/>
        <w:numPr>
          <w:ilvl w:val="0"/>
          <w:numId w:val="4"/>
        </w:numPr>
        <w:rPr>
          <w:rFonts w:cs="Arial"/>
          <w:sz w:val="20"/>
          <w:lang w:val="en"/>
        </w:rPr>
      </w:pPr>
      <w:r w:rsidRPr="00A709C5">
        <w:rPr>
          <w:rFonts w:cs="Arial"/>
          <w:sz w:val="20"/>
          <w:lang w:val="en"/>
        </w:rPr>
        <w:t xml:space="preserve">Field Collection Activities - Liens and levies </w:t>
      </w:r>
    </w:p>
    <w:p w14:paraId="618B571E" w14:textId="287F9128" w:rsidR="00396544" w:rsidRPr="00A709C5" w:rsidRDefault="00396544" w:rsidP="00C7093E">
      <w:pPr>
        <w:pStyle w:val="BodyCopy"/>
        <w:numPr>
          <w:ilvl w:val="0"/>
          <w:numId w:val="4"/>
        </w:numPr>
        <w:rPr>
          <w:rFonts w:cs="Arial"/>
          <w:sz w:val="20"/>
          <w:lang w:val="en"/>
        </w:rPr>
      </w:pPr>
      <w:r w:rsidRPr="00A709C5">
        <w:rPr>
          <w:rFonts w:cs="Arial"/>
          <w:sz w:val="20"/>
          <w:lang w:val="en"/>
        </w:rPr>
        <w:t>Automated Levies, and Systemic Liens and Levies</w:t>
      </w:r>
    </w:p>
    <w:p w14:paraId="399A0A5E" w14:textId="40F060CE" w:rsidR="00396544" w:rsidRPr="00A709C5" w:rsidRDefault="00396544" w:rsidP="00C7093E">
      <w:pPr>
        <w:pStyle w:val="BodyCopy"/>
        <w:numPr>
          <w:ilvl w:val="0"/>
          <w:numId w:val="4"/>
        </w:numPr>
        <w:rPr>
          <w:rFonts w:cs="Arial"/>
          <w:sz w:val="20"/>
          <w:lang w:val="en"/>
        </w:rPr>
      </w:pPr>
      <w:r w:rsidRPr="00A709C5">
        <w:rPr>
          <w:rFonts w:cs="Arial"/>
          <w:sz w:val="20"/>
          <w:lang w:val="en"/>
        </w:rPr>
        <w:t>Certifications of seriously delinquent tax liabilities to the State Department (impacting the issuance or renewal of a passport)</w:t>
      </w:r>
    </w:p>
    <w:p w14:paraId="658C8446" w14:textId="609BA79C" w:rsidR="00396544" w:rsidRPr="00A709C5" w:rsidRDefault="00396544" w:rsidP="00C7093E">
      <w:pPr>
        <w:pStyle w:val="BodyCopy"/>
        <w:numPr>
          <w:ilvl w:val="0"/>
          <w:numId w:val="4"/>
        </w:numPr>
        <w:rPr>
          <w:rFonts w:cs="Arial"/>
          <w:sz w:val="20"/>
          <w:lang w:val="en"/>
        </w:rPr>
      </w:pPr>
      <w:r w:rsidRPr="00A709C5">
        <w:rPr>
          <w:rFonts w:cs="Arial"/>
          <w:sz w:val="20"/>
          <w:lang w:val="en"/>
        </w:rPr>
        <w:t>Private Debt Collection</w:t>
      </w:r>
    </w:p>
    <w:p w14:paraId="71B55DA2" w14:textId="77777777" w:rsidR="00C7093E" w:rsidRPr="00A709C5" w:rsidRDefault="00396544" w:rsidP="00C7093E">
      <w:pPr>
        <w:pStyle w:val="BodyCopy"/>
        <w:numPr>
          <w:ilvl w:val="0"/>
          <w:numId w:val="4"/>
        </w:numPr>
        <w:rPr>
          <w:rFonts w:cs="Arial"/>
          <w:sz w:val="20"/>
          <w:lang w:val="en"/>
        </w:rPr>
      </w:pPr>
      <w:r w:rsidRPr="00A709C5">
        <w:rPr>
          <w:rFonts w:cs="Arial"/>
          <w:sz w:val="20"/>
          <w:lang w:val="en"/>
        </w:rPr>
        <w:t>Field, Office and Correspondence Audits</w:t>
      </w:r>
    </w:p>
    <w:p w14:paraId="3778152A" w14:textId="77777777" w:rsidR="00C7093E" w:rsidRPr="00A709C5" w:rsidRDefault="00396544" w:rsidP="00C7093E">
      <w:pPr>
        <w:pStyle w:val="BodyCopy"/>
        <w:numPr>
          <w:ilvl w:val="1"/>
          <w:numId w:val="4"/>
        </w:numPr>
        <w:rPr>
          <w:rFonts w:cs="Arial"/>
          <w:sz w:val="20"/>
          <w:lang w:val="en"/>
        </w:rPr>
      </w:pPr>
      <w:r w:rsidRPr="00A709C5">
        <w:rPr>
          <w:rFonts w:cs="Arial"/>
          <w:sz w:val="20"/>
          <w:lang w:val="en"/>
        </w:rPr>
        <w:t>In-Person Meetings</w:t>
      </w:r>
    </w:p>
    <w:p w14:paraId="5C04D368" w14:textId="77777777" w:rsidR="00C7093E" w:rsidRPr="00A709C5" w:rsidRDefault="00396544" w:rsidP="00C7093E">
      <w:pPr>
        <w:pStyle w:val="BodyCopy"/>
        <w:numPr>
          <w:ilvl w:val="1"/>
          <w:numId w:val="4"/>
        </w:numPr>
        <w:rPr>
          <w:rFonts w:cs="Arial"/>
          <w:sz w:val="20"/>
          <w:lang w:val="en"/>
        </w:rPr>
      </w:pPr>
      <w:r w:rsidRPr="00A709C5">
        <w:rPr>
          <w:rFonts w:cs="Arial"/>
          <w:sz w:val="20"/>
          <w:lang w:val="en"/>
        </w:rPr>
        <w:t>Unique Situations</w:t>
      </w:r>
    </w:p>
    <w:p w14:paraId="4A0822F7" w14:textId="77777777" w:rsidR="00C7093E" w:rsidRPr="00A709C5" w:rsidRDefault="00396544" w:rsidP="00C7093E">
      <w:pPr>
        <w:pStyle w:val="BodyCopy"/>
        <w:numPr>
          <w:ilvl w:val="1"/>
          <w:numId w:val="4"/>
        </w:numPr>
        <w:rPr>
          <w:rFonts w:cs="Arial"/>
          <w:sz w:val="20"/>
          <w:lang w:val="en"/>
        </w:rPr>
      </w:pPr>
      <w:r w:rsidRPr="00A709C5">
        <w:rPr>
          <w:rFonts w:cs="Arial"/>
          <w:sz w:val="20"/>
          <w:lang w:val="en"/>
        </w:rPr>
        <w:t>General Requests for Information</w:t>
      </w:r>
    </w:p>
    <w:p w14:paraId="3F2A1D3A" w14:textId="77777777" w:rsidR="00C7093E" w:rsidRPr="00A709C5" w:rsidRDefault="00396544" w:rsidP="00C7093E">
      <w:pPr>
        <w:pStyle w:val="BodyCopy"/>
        <w:numPr>
          <w:ilvl w:val="1"/>
          <w:numId w:val="4"/>
        </w:numPr>
        <w:rPr>
          <w:rFonts w:cs="Arial"/>
          <w:sz w:val="20"/>
          <w:lang w:val="en"/>
        </w:rPr>
      </w:pPr>
      <w:r w:rsidRPr="00A709C5">
        <w:rPr>
          <w:rFonts w:cs="Arial"/>
          <w:sz w:val="20"/>
          <w:lang w:val="en"/>
        </w:rPr>
        <w:t>Earned Income Tax Credit and Wage Verification Review</w:t>
      </w:r>
      <w:r w:rsidR="00C7093E" w:rsidRPr="00A709C5">
        <w:rPr>
          <w:rFonts w:cs="Arial"/>
          <w:sz w:val="20"/>
          <w:lang w:val="en"/>
        </w:rPr>
        <w:t>s</w:t>
      </w:r>
    </w:p>
    <w:p w14:paraId="45C67DB0" w14:textId="1C27D52F" w:rsidR="00396544" w:rsidRPr="00A709C5" w:rsidRDefault="00396544" w:rsidP="00C7093E">
      <w:pPr>
        <w:pStyle w:val="BodyCopy"/>
        <w:numPr>
          <w:ilvl w:val="1"/>
          <w:numId w:val="4"/>
        </w:numPr>
        <w:rPr>
          <w:rFonts w:cs="Arial"/>
          <w:sz w:val="20"/>
          <w:lang w:val="en"/>
        </w:rPr>
      </w:pPr>
      <w:r w:rsidRPr="00A709C5">
        <w:rPr>
          <w:rFonts w:cs="Arial"/>
          <w:sz w:val="20"/>
          <w:lang w:val="en"/>
        </w:rPr>
        <w:t>Updated electronic communication procedures</w:t>
      </w:r>
    </w:p>
    <w:p w14:paraId="6AD09D3B" w14:textId="77777777" w:rsidR="00396544" w:rsidRPr="00A709C5" w:rsidRDefault="00396544" w:rsidP="00396544">
      <w:pPr>
        <w:pStyle w:val="BodyCopy"/>
        <w:rPr>
          <w:rFonts w:cs="Arial"/>
          <w:sz w:val="20"/>
          <w:lang w:val="en"/>
        </w:rPr>
      </w:pPr>
    </w:p>
    <w:p w14:paraId="30EFAA36" w14:textId="3F90E015" w:rsidR="00396544" w:rsidRPr="00A709C5" w:rsidRDefault="00396544" w:rsidP="00396544">
      <w:pPr>
        <w:pStyle w:val="BodyCopy"/>
        <w:rPr>
          <w:rFonts w:cs="Arial"/>
          <w:sz w:val="20"/>
          <w:lang w:val="en"/>
        </w:rPr>
      </w:pPr>
      <w:r w:rsidRPr="00A709C5">
        <w:rPr>
          <w:rFonts w:cs="Arial"/>
          <w:sz w:val="20"/>
          <w:lang w:val="en"/>
        </w:rPr>
        <w:t xml:space="preserve">Please note that the IRS will continue to take steps where necessary to protect all applicable statutes of limitations. </w:t>
      </w:r>
    </w:p>
    <w:p w14:paraId="33F167C9" w14:textId="77777777" w:rsidR="00C7093E" w:rsidRPr="00A709C5" w:rsidRDefault="00C7093E" w:rsidP="00396544">
      <w:pPr>
        <w:pStyle w:val="BodyCopy"/>
        <w:rPr>
          <w:rFonts w:cs="Arial"/>
          <w:sz w:val="20"/>
          <w:lang w:val="en"/>
        </w:rPr>
      </w:pPr>
    </w:p>
    <w:p w14:paraId="7561B27B" w14:textId="77777777" w:rsidR="00396544" w:rsidRPr="00A709C5" w:rsidRDefault="00396544" w:rsidP="00396544">
      <w:pPr>
        <w:pStyle w:val="BodyCopy"/>
        <w:rPr>
          <w:rFonts w:cs="Arial"/>
          <w:sz w:val="20"/>
          <w:lang w:val="en"/>
        </w:rPr>
      </w:pPr>
      <w:r w:rsidRPr="00A709C5">
        <w:rPr>
          <w:rFonts w:cs="Arial"/>
          <w:sz w:val="20"/>
          <w:lang w:val="en"/>
        </w:rPr>
        <w:t>The IRS Independent Office of Appeals is continuing to work its cases. Although they are not currently holding in-person conferences with taxpayers, they may hold conferences over the telephone or by videoconference. IRS encourages taxpayers to promptly respond to any outstanding requests for information for all cases.</w:t>
      </w:r>
    </w:p>
    <w:p w14:paraId="400902DB" w14:textId="77777777" w:rsidR="00396544" w:rsidRPr="00A709C5" w:rsidRDefault="00396544" w:rsidP="00396544">
      <w:pPr>
        <w:pStyle w:val="BodyCopy"/>
        <w:rPr>
          <w:rFonts w:cs="Arial"/>
          <w:sz w:val="20"/>
          <w:lang w:val="en"/>
        </w:rPr>
      </w:pPr>
    </w:p>
    <w:p w14:paraId="34BF743C" w14:textId="77777777" w:rsidR="00396544" w:rsidRPr="00A709C5" w:rsidRDefault="00396544" w:rsidP="00396544">
      <w:pPr>
        <w:pStyle w:val="BodyCopy"/>
        <w:rPr>
          <w:rFonts w:cs="Arial"/>
          <w:sz w:val="20"/>
          <w:lang w:val="en"/>
        </w:rPr>
      </w:pPr>
      <w:r w:rsidRPr="00A709C5">
        <w:rPr>
          <w:rFonts w:cs="Arial"/>
          <w:sz w:val="20"/>
          <w:lang w:val="en"/>
        </w:rPr>
        <w:t xml:space="preserve">Generally, the IRS strongly encourages taxpayers with delinquent returns prior to 2019 to file their returns now. Many of those taxpayers are due refunds that they can claim if they file. Those who owe back taxes should take this opportunity to file delinquent returns and resolve any outstanding liabilities. </w:t>
      </w:r>
    </w:p>
    <w:p w14:paraId="2FDAF21F" w14:textId="77777777" w:rsidR="00396544" w:rsidRPr="00A709C5" w:rsidRDefault="00396544" w:rsidP="00396544">
      <w:pPr>
        <w:pStyle w:val="BodyCopy"/>
        <w:rPr>
          <w:rFonts w:cs="Arial"/>
          <w:sz w:val="20"/>
          <w:lang w:val="en"/>
        </w:rPr>
      </w:pPr>
    </w:p>
    <w:p w14:paraId="7D875E4F" w14:textId="77777777" w:rsidR="00396544" w:rsidRPr="00A709C5" w:rsidRDefault="00396544" w:rsidP="00396544">
      <w:pPr>
        <w:pStyle w:val="BodyCopy"/>
        <w:rPr>
          <w:rFonts w:cs="Arial"/>
          <w:sz w:val="20"/>
          <w:lang w:val="en"/>
        </w:rPr>
      </w:pPr>
      <w:r w:rsidRPr="00A709C5">
        <w:rPr>
          <w:rFonts w:cs="Arial"/>
          <w:sz w:val="20"/>
          <w:lang w:val="en"/>
        </w:rPr>
        <w:t xml:space="preserve">Visit IRS.Gov/payments for more information about IRS payment options, including several options for taxpayers who can’t pay the full amount now. It pays in the long run to clear up past unpaid taxes and filing requirements, to avoid accrual of penalties and interest that may apply. </w:t>
      </w:r>
    </w:p>
    <w:p w14:paraId="7A7F4111" w14:textId="77777777" w:rsidR="00A709C5" w:rsidRDefault="00A709C5" w:rsidP="006D0441">
      <w:pPr>
        <w:pStyle w:val="BodyCopy"/>
        <w:rPr>
          <w:b/>
          <w:bCs/>
          <w:color w:val="002060"/>
        </w:rPr>
      </w:pPr>
    </w:p>
    <w:p w14:paraId="6FA84583" w14:textId="4BFB15C7" w:rsidR="006D0441" w:rsidRDefault="006D0441" w:rsidP="006D0441">
      <w:pPr>
        <w:pStyle w:val="BodyCopy"/>
        <w:rPr>
          <w:b/>
          <w:bCs/>
          <w:color w:val="002060"/>
        </w:rPr>
      </w:pPr>
      <w:r w:rsidRPr="00AC370F">
        <w:rPr>
          <w:b/>
          <w:bCs/>
          <w:color w:val="002060"/>
        </w:rPr>
        <w:t>More information:</w:t>
      </w:r>
    </w:p>
    <w:p w14:paraId="03B9D799" w14:textId="0F45C02D" w:rsidR="00A4528C" w:rsidRPr="00A709C5" w:rsidRDefault="005727C2" w:rsidP="006D0441">
      <w:pPr>
        <w:pStyle w:val="BodyCopy"/>
        <w:rPr>
          <w:color w:val="auto"/>
          <w:sz w:val="20"/>
        </w:rPr>
      </w:pPr>
      <w:hyperlink r:id="rId13" w:history="1">
        <w:r w:rsidR="00A4528C" w:rsidRPr="00A709C5">
          <w:rPr>
            <w:rStyle w:val="Hyperlink"/>
            <w:sz w:val="20"/>
          </w:rPr>
          <w:t>IRS People First Initative FAQs</w:t>
        </w:r>
      </w:hyperlink>
    </w:p>
    <w:p w14:paraId="257FB186" w14:textId="77777777" w:rsidR="006D0441" w:rsidRPr="00A709C5" w:rsidRDefault="005727C2" w:rsidP="006D0441">
      <w:pPr>
        <w:pStyle w:val="BodyCopy"/>
        <w:rPr>
          <w:rStyle w:val="Hyperlink"/>
          <w:sz w:val="20"/>
        </w:rPr>
      </w:pPr>
      <w:hyperlink r:id="rId14" w:history="1">
        <w:r w:rsidR="006D0441" w:rsidRPr="00A709C5">
          <w:rPr>
            <w:rStyle w:val="Hyperlink"/>
            <w:sz w:val="20"/>
          </w:rPr>
          <w:t>Coronavirus Tax Relief</w:t>
        </w:r>
      </w:hyperlink>
    </w:p>
    <w:p w14:paraId="2ECA20B2" w14:textId="77777777" w:rsidR="006D0441" w:rsidRPr="00A709C5" w:rsidRDefault="005727C2" w:rsidP="006D0441">
      <w:pPr>
        <w:pStyle w:val="BodyCopy"/>
        <w:rPr>
          <w:color w:val="0000FF" w:themeColor="hyperlink"/>
          <w:sz w:val="20"/>
          <w:u w:val="single"/>
        </w:rPr>
      </w:pPr>
      <w:hyperlink r:id="rId15" w:history="1">
        <w:r w:rsidR="006D0441" w:rsidRPr="00A709C5">
          <w:rPr>
            <w:rStyle w:val="Hyperlink"/>
            <w:sz w:val="20"/>
            <w:lang w:val="en"/>
          </w:rPr>
          <w:t>Employee Retention Credit FAQs</w:t>
        </w:r>
      </w:hyperlink>
    </w:p>
    <w:p w14:paraId="1B551D4A" w14:textId="77777777" w:rsidR="006D0441" w:rsidRPr="008A29A6" w:rsidRDefault="005727C2" w:rsidP="006D0441">
      <w:pPr>
        <w:tabs>
          <w:tab w:val="left" w:pos="1680"/>
        </w:tabs>
        <w:rPr>
          <w:sz w:val="20"/>
          <w:szCs w:val="20"/>
        </w:rPr>
      </w:pPr>
      <w:hyperlink r:id="rId16" w:history="1">
        <w:r w:rsidR="006D0441" w:rsidRPr="00A709C5">
          <w:rPr>
            <w:rStyle w:val="Hyperlink"/>
            <w:sz w:val="20"/>
            <w:szCs w:val="20"/>
          </w:rPr>
          <w:t>IR 2020-62</w:t>
        </w:r>
      </w:hyperlink>
      <w:r w:rsidR="006D0441" w:rsidRPr="00A709C5">
        <w:rPr>
          <w:rStyle w:val="Hyperlink"/>
          <w:sz w:val="20"/>
          <w:szCs w:val="20"/>
        </w:rPr>
        <w:t>, Employee Retention Credit available for many businesses financially impacted by COVID-19</w:t>
      </w:r>
      <w:r w:rsidR="006D0441" w:rsidRPr="008A29A6">
        <w:rPr>
          <w:rStyle w:val="Hyperlink"/>
          <w:sz w:val="20"/>
          <w:szCs w:val="20"/>
        </w:rPr>
        <w:t xml:space="preserve"> </w:t>
      </w:r>
    </w:p>
    <w:p w14:paraId="2B516472" w14:textId="77777777" w:rsidR="006D0441" w:rsidRPr="00EF68DD" w:rsidRDefault="006D0441" w:rsidP="006D0441">
      <w:pPr>
        <w:tabs>
          <w:tab w:val="left" w:pos="1680"/>
        </w:tabs>
      </w:pPr>
    </w:p>
    <w:p w14:paraId="46DAD5F0" w14:textId="77777777" w:rsidR="000A13D9" w:rsidRDefault="000A13D9"/>
    <w:sectPr w:rsidR="000A13D9" w:rsidSect="006D0441">
      <w:headerReference w:type="default" r:id="rId17"/>
      <w:pgSz w:w="12240" w:h="15840" w:code="1"/>
      <w:pgMar w:top="720" w:right="720" w:bottom="720" w:left="72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A48A" w14:textId="77777777" w:rsidR="005727C2" w:rsidRDefault="005727C2" w:rsidP="000E0227">
      <w:r>
        <w:separator/>
      </w:r>
    </w:p>
  </w:endnote>
  <w:endnote w:type="continuationSeparator" w:id="0">
    <w:p w14:paraId="7F274A1B" w14:textId="77777777" w:rsidR="005727C2" w:rsidRDefault="005727C2" w:rsidP="000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BA6B" w14:textId="77777777" w:rsidR="005727C2" w:rsidRDefault="005727C2" w:rsidP="000E0227">
      <w:r>
        <w:separator/>
      </w:r>
    </w:p>
  </w:footnote>
  <w:footnote w:type="continuationSeparator" w:id="0">
    <w:p w14:paraId="47E8602E" w14:textId="77777777" w:rsidR="005727C2" w:rsidRDefault="005727C2" w:rsidP="000E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C16A" w14:textId="089FDEF8" w:rsidR="000E0227" w:rsidRDefault="000E0227">
    <w:pPr>
      <w:pStyle w:val="Header"/>
    </w:pPr>
    <w:r>
      <w:rPr>
        <w:noProof/>
      </w:rPr>
      <w:drawing>
        <wp:anchor distT="0" distB="0" distL="114300" distR="114300" simplePos="0" relativeHeight="251659264" behindDoc="0" locked="0" layoutInCell="1" allowOverlap="1" wp14:anchorId="2DCAAFD0" wp14:editId="7380B94B">
          <wp:simplePos x="0" y="0"/>
          <wp:positionH relativeFrom="margin">
            <wp:posOffset>-419100</wp:posOffset>
          </wp:positionH>
          <wp:positionV relativeFrom="margin">
            <wp:posOffset>-1591945</wp:posOffset>
          </wp:positionV>
          <wp:extent cx="7762875" cy="12414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241425"/>
                  </a:xfrm>
                  <a:prstGeom prst="rect">
                    <a:avLst/>
                  </a:prstGeom>
                  <a:noFill/>
                  <a:ln>
                    <a:noFill/>
                  </a:ln>
                </pic:spPr>
              </pic:pic>
            </a:graphicData>
          </a:graphic>
        </wp:anchor>
      </w:drawing>
    </w:r>
  </w:p>
  <w:p w14:paraId="6657E11E" w14:textId="77777777" w:rsidR="000E0227" w:rsidRDefault="000E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820B9"/>
    <w:multiLevelType w:val="hybridMultilevel"/>
    <w:tmpl w:val="3FF8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26F15"/>
    <w:multiLevelType w:val="hybridMultilevel"/>
    <w:tmpl w:val="7E36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D0BCB"/>
    <w:multiLevelType w:val="hybridMultilevel"/>
    <w:tmpl w:val="478E822C"/>
    <w:lvl w:ilvl="0" w:tplc="081C90EE">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5AD286FC">
      <w:numFmt w:val="bullet"/>
      <w:lvlText w:val=""/>
      <w:lvlJc w:val="left"/>
      <w:pPr>
        <w:ind w:left="2520" w:hanging="720"/>
      </w:pPr>
      <w:rPr>
        <w:rFonts w:ascii="Symbol" w:eastAsia="MS Mincho"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82064"/>
    <w:multiLevelType w:val="hybridMultilevel"/>
    <w:tmpl w:val="55ECBEA8"/>
    <w:lvl w:ilvl="0" w:tplc="081C90EE">
      <w:numFmt w:val="bullet"/>
      <w:lvlText w:val="•"/>
      <w:lvlJc w:val="left"/>
      <w:pPr>
        <w:ind w:left="1080" w:hanging="720"/>
      </w:pPr>
      <w:rPr>
        <w:rFonts w:ascii="Arial" w:eastAsia="MS Mincho" w:hAnsi="Arial" w:cs="Arial" w:hint="default"/>
      </w:rPr>
    </w:lvl>
    <w:lvl w:ilvl="1" w:tplc="D2664138">
      <w:numFmt w:val="bullet"/>
      <w:lvlText w:val=""/>
      <w:lvlJc w:val="left"/>
      <w:pPr>
        <w:ind w:left="1800" w:hanging="720"/>
      </w:pPr>
      <w:rPr>
        <w:rFonts w:ascii="Symbol" w:eastAsia="MS Mincho"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27"/>
    <w:rsid w:val="000A13D9"/>
    <w:rsid w:val="000E0227"/>
    <w:rsid w:val="001B37D8"/>
    <w:rsid w:val="00250AEB"/>
    <w:rsid w:val="00295366"/>
    <w:rsid w:val="002F66A4"/>
    <w:rsid w:val="0031127D"/>
    <w:rsid w:val="003743BF"/>
    <w:rsid w:val="00396544"/>
    <w:rsid w:val="003A35C6"/>
    <w:rsid w:val="003C342E"/>
    <w:rsid w:val="003F2B96"/>
    <w:rsid w:val="004871D5"/>
    <w:rsid w:val="00492CB8"/>
    <w:rsid w:val="004B2207"/>
    <w:rsid w:val="004E29AC"/>
    <w:rsid w:val="005727C2"/>
    <w:rsid w:val="00625785"/>
    <w:rsid w:val="00626BB2"/>
    <w:rsid w:val="006D0441"/>
    <w:rsid w:val="00737E25"/>
    <w:rsid w:val="008365E4"/>
    <w:rsid w:val="008A29A6"/>
    <w:rsid w:val="008B4F59"/>
    <w:rsid w:val="00927705"/>
    <w:rsid w:val="00930BD2"/>
    <w:rsid w:val="009C0B4F"/>
    <w:rsid w:val="00A05FDF"/>
    <w:rsid w:val="00A4528C"/>
    <w:rsid w:val="00A709C5"/>
    <w:rsid w:val="00AA295B"/>
    <w:rsid w:val="00AB7CB0"/>
    <w:rsid w:val="00AC370F"/>
    <w:rsid w:val="00B00E61"/>
    <w:rsid w:val="00B3386F"/>
    <w:rsid w:val="00B34178"/>
    <w:rsid w:val="00B9400C"/>
    <w:rsid w:val="00BB0304"/>
    <w:rsid w:val="00BE5EF5"/>
    <w:rsid w:val="00C7093E"/>
    <w:rsid w:val="00C73405"/>
    <w:rsid w:val="00D615F2"/>
    <w:rsid w:val="00D83CEA"/>
    <w:rsid w:val="00D90E85"/>
    <w:rsid w:val="00D938AF"/>
    <w:rsid w:val="00E029BF"/>
    <w:rsid w:val="00F4591A"/>
    <w:rsid w:val="00F74D52"/>
    <w:rsid w:val="00F9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1EF"/>
  <w15:chartTrackingRefBased/>
  <w15:docId w15:val="{9A3448B9-F3C2-4CE9-8139-8022E23D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441"/>
  </w:style>
  <w:style w:type="paragraph" w:styleId="Heading1">
    <w:name w:val="heading 1"/>
    <w:basedOn w:val="Normal"/>
    <w:next w:val="Normal"/>
    <w:link w:val="Heading1Char"/>
    <w:uiPriority w:val="9"/>
    <w:qFormat/>
    <w:rsid w:val="00374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43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743BF"/>
    <w:pPr>
      <w:outlineLvl w:val="2"/>
    </w:pPr>
    <w:rPr>
      <w:rFonts w:ascii="Times New Roman" w:hAnsi="Times New Roman"/>
      <w:sz w:val="27"/>
      <w:szCs w:val="27"/>
    </w:rPr>
  </w:style>
  <w:style w:type="paragraph" w:styleId="Heading4">
    <w:name w:val="heading 4"/>
    <w:basedOn w:val="Normal"/>
    <w:next w:val="Normal"/>
    <w:link w:val="Heading4Char"/>
    <w:uiPriority w:val="9"/>
    <w:semiHidden/>
    <w:unhideWhenUsed/>
    <w:qFormat/>
    <w:rsid w:val="00F74D5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74D5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3BF"/>
    <w:rPr>
      <w:rFonts w:ascii="Times New Roman" w:hAnsi="Times New Roman"/>
      <w:sz w:val="27"/>
      <w:szCs w:val="27"/>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3743BF"/>
    <w:pPr>
      <w:ind w:left="720"/>
      <w:contextualSpacing/>
    </w:p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A05FDF"/>
    <w:rPr>
      <w:szCs w:val="24"/>
    </w:rPr>
  </w:style>
  <w:style w:type="character" w:customStyle="1" w:styleId="Heading1Char">
    <w:name w:val="Heading 1 Char"/>
    <w:basedOn w:val="DefaultParagraphFont"/>
    <w:link w:val="Heading1"/>
    <w:uiPriority w:val="9"/>
    <w:rsid w:val="003743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43BF"/>
    <w:rPr>
      <w:rFonts w:asciiTheme="majorHAnsi" w:eastAsiaTheme="majorEastAsia" w:hAnsiTheme="majorHAnsi" w:cstheme="majorBidi"/>
      <w:color w:val="365F91" w:themeColor="accent1" w:themeShade="BF"/>
      <w:sz w:val="26"/>
      <w:szCs w:val="26"/>
    </w:rPr>
  </w:style>
  <w:style w:type="character" w:customStyle="1" w:styleId="Heading4Char">
    <w:name w:val="Heading 4 Char"/>
    <w:link w:val="Heading4"/>
    <w:uiPriority w:val="9"/>
    <w:semiHidden/>
    <w:rsid w:val="00F74D52"/>
    <w:rPr>
      <w:rFonts w:asciiTheme="majorHAnsi" w:eastAsiaTheme="majorEastAsia" w:hAnsiTheme="majorHAnsi" w:cstheme="majorBidi"/>
      <w:i/>
      <w:iCs/>
      <w:color w:val="365F91" w:themeColor="accent1" w:themeShade="BF"/>
      <w:szCs w:val="24"/>
    </w:rPr>
  </w:style>
  <w:style w:type="character" w:customStyle="1" w:styleId="Heading5Char">
    <w:name w:val="Heading 5 Char"/>
    <w:link w:val="Heading5"/>
    <w:uiPriority w:val="9"/>
    <w:semiHidden/>
    <w:rsid w:val="00F74D52"/>
    <w:rPr>
      <w:rFonts w:asciiTheme="majorHAnsi" w:eastAsiaTheme="majorEastAsia" w:hAnsiTheme="majorHAnsi" w:cstheme="majorBidi"/>
      <w:color w:val="365F91" w:themeColor="accent1" w:themeShade="BF"/>
      <w:szCs w:val="24"/>
    </w:rPr>
  </w:style>
  <w:style w:type="paragraph" w:styleId="Title">
    <w:name w:val="Title"/>
    <w:basedOn w:val="Normal"/>
    <w:link w:val="TitleChar"/>
    <w:uiPriority w:val="10"/>
    <w:qFormat/>
    <w:rsid w:val="00F74D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D5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743BF"/>
    <w:rPr>
      <w:b/>
      <w:bCs/>
    </w:rPr>
  </w:style>
  <w:style w:type="character" w:styleId="Emphasis">
    <w:name w:val="Emphasis"/>
    <w:basedOn w:val="DefaultParagraphFont"/>
    <w:uiPriority w:val="20"/>
    <w:qFormat/>
    <w:rsid w:val="003743BF"/>
    <w:rPr>
      <w:b/>
      <w:bCs/>
      <w:i w:val="0"/>
      <w:iCs w:val="0"/>
    </w:rPr>
  </w:style>
  <w:style w:type="paragraph" w:styleId="NoSpacing">
    <w:name w:val="No Spacing"/>
    <w:basedOn w:val="Normal"/>
    <w:uiPriority w:val="1"/>
    <w:qFormat/>
    <w:rsid w:val="00F74D52"/>
  </w:style>
  <w:style w:type="paragraph" w:customStyle="1" w:styleId="Style1">
    <w:name w:val="Style1"/>
    <w:basedOn w:val="Normal"/>
    <w:qFormat/>
    <w:rsid w:val="003743BF"/>
  </w:style>
  <w:style w:type="paragraph" w:customStyle="1" w:styleId="Style3">
    <w:name w:val="Style3"/>
    <w:basedOn w:val="Normal"/>
    <w:qFormat/>
    <w:rsid w:val="003743BF"/>
  </w:style>
  <w:style w:type="paragraph" w:customStyle="1" w:styleId="Style4">
    <w:name w:val="Style4"/>
    <w:basedOn w:val="Normal"/>
    <w:autoRedefine/>
    <w:qFormat/>
    <w:rsid w:val="003743BF"/>
    <w:rPr>
      <w:rFonts w:asciiTheme="minorHAnsi" w:hAnsiTheme="minorHAnsi"/>
    </w:rPr>
  </w:style>
  <w:style w:type="paragraph" w:styleId="Header">
    <w:name w:val="header"/>
    <w:basedOn w:val="Normal"/>
    <w:link w:val="HeaderChar"/>
    <w:uiPriority w:val="99"/>
    <w:unhideWhenUsed/>
    <w:rsid w:val="000E0227"/>
    <w:pPr>
      <w:tabs>
        <w:tab w:val="center" w:pos="4680"/>
        <w:tab w:val="right" w:pos="9360"/>
      </w:tabs>
    </w:pPr>
  </w:style>
  <w:style w:type="character" w:customStyle="1" w:styleId="HeaderChar">
    <w:name w:val="Header Char"/>
    <w:basedOn w:val="DefaultParagraphFont"/>
    <w:link w:val="Header"/>
    <w:uiPriority w:val="99"/>
    <w:rsid w:val="000E0227"/>
  </w:style>
  <w:style w:type="paragraph" w:styleId="Footer">
    <w:name w:val="footer"/>
    <w:basedOn w:val="Normal"/>
    <w:link w:val="FooterChar"/>
    <w:uiPriority w:val="99"/>
    <w:unhideWhenUsed/>
    <w:rsid w:val="000E0227"/>
    <w:pPr>
      <w:tabs>
        <w:tab w:val="center" w:pos="4680"/>
        <w:tab w:val="right" w:pos="9360"/>
      </w:tabs>
    </w:pPr>
  </w:style>
  <w:style w:type="character" w:customStyle="1" w:styleId="FooterChar">
    <w:name w:val="Footer Char"/>
    <w:basedOn w:val="DefaultParagraphFont"/>
    <w:link w:val="Footer"/>
    <w:uiPriority w:val="99"/>
    <w:rsid w:val="000E0227"/>
  </w:style>
  <w:style w:type="paragraph" w:customStyle="1" w:styleId="Subheading">
    <w:name w:val="Subheading"/>
    <w:basedOn w:val="Normal"/>
    <w:locked/>
    <w:rsid w:val="006D0441"/>
    <w:pPr>
      <w:spacing w:before="240" w:after="120"/>
    </w:pPr>
    <w:rPr>
      <w:rFonts w:eastAsia="MS Mincho" w:cs="Times New Roman"/>
      <w:noProof/>
      <w:color w:val="00599C"/>
      <w:sz w:val="36"/>
      <w:szCs w:val="20"/>
    </w:rPr>
  </w:style>
  <w:style w:type="paragraph" w:customStyle="1" w:styleId="BodyCopy">
    <w:name w:val="Body Copy"/>
    <w:basedOn w:val="Normal"/>
    <w:locked/>
    <w:rsid w:val="006D0441"/>
    <w:pPr>
      <w:ind w:right="684"/>
    </w:pPr>
    <w:rPr>
      <w:rFonts w:eastAsia="MS Mincho" w:cs="Times New Roman"/>
      <w:noProof/>
      <w:color w:val="000000"/>
      <w:sz w:val="22"/>
      <w:szCs w:val="20"/>
    </w:rPr>
  </w:style>
  <w:style w:type="paragraph" w:customStyle="1" w:styleId="SpecificsDate">
    <w:name w:val="Specifics: Date"/>
    <w:basedOn w:val="Normal"/>
    <w:locked/>
    <w:rsid w:val="006D0441"/>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6D0441"/>
    <w:pPr>
      <w:spacing w:before="40"/>
      <w:outlineLvl w:val="0"/>
    </w:pPr>
    <w:rPr>
      <w:rFonts w:eastAsia="MS Mincho" w:cs="Times New Roman"/>
      <w:noProof/>
      <w:color w:val="00599C"/>
      <w:sz w:val="48"/>
      <w:szCs w:val="20"/>
    </w:rPr>
  </w:style>
  <w:style w:type="character" w:styleId="Hyperlink">
    <w:name w:val="Hyperlink"/>
    <w:basedOn w:val="DefaultParagraphFont"/>
    <w:uiPriority w:val="99"/>
    <w:unhideWhenUsed/>
    <w:rsid w:val="006D0441"/>
    <w:rPr>
      <w:color w:val="0000FF" w:themeColor="hyperlink"/>
      <w:u w:val="single"/>
    </w:rPr>
  </w:style>
  <w:style w:type="character" w:styleId="FollowedHyperlink">
    <w:name w:val="FollowedHyperlink"/>
    <w:basedOn w:val="DefaultParagraphFont"/>
    <w:uiPriority w:val="99"/>
    <w:semiHidden/>
    <w:unhideWhenUsed/>
    <w:rsid w:val="008A29A6"/>
    <w:rPr>
      <w:color w:val="800080" w:themeColor="followedHyperlink"/>
      <w:u w:val="single"/>
    </w:rPr>
  </w:style>
  <w:style w:type="character" w:styleId="UnresolvedMention">
    <w:name w:val="Unresolved Mention"/>
    <w:basedOn w:val="DefaultParagraphFont"/>
    <w:uiPriority w:val="99"/>
    <w:semiHidden/>
    <w:unhideWhenUsed/>
    <w:rsid w:val="00B3386F"/>
    <w:rPr>
      <w:color w:val="605E5C"/>
      <w:shd w:val="clear" w:color="auto" w:fill="E1DFDD"/>
    </w:rPr>
  </w:style>
  <w:style w:type="character" w:styleId="CommentReference">
    <w:name w:val="annotation reference"/>
    <w:basedOn w:val="DefaultParagraphFont"/>
    <w:uiPriority w:val="99"/>
    <w:semiHidden/>
    <w:unhideWhenUsed/>
    <w:rsid w:val="00D615F2"/>
    <w:rPr>
      <w:sz w:val="16"/>
      <w:szCs w:val="16"/>
    </w:rPr>
  </w:style>
  <w:style w:type="paragraph" w:styleId="CommentText">
    <w:name w:val="annotation text"/>
    <w:basedOn w:val="Normal"/>
    <w:link w:val="CommentTextChar"/>
    <w:uiPriority w:val="99"/>
    <w:semiHidden/>
    <w:unhideWhenUsed/>
    <w:rsid w:val="00D615F2"/>
    <w:rPr>
      <w:sz w:val="20"/>
      <w:szCs w:val="20"/>
    </w:rPr>
  </w:style>
  <w:style w:type="character" w:customStyle="1" w:styleId="CommentTextChar">
    <w:name w:val="Comment Text Char"/>
    <w:basedOn w:val="DefaultParagraphFont"/>
    <w:link w:val="CommentText"/>
    <w:uiPriority w:val="99"/>
    <w:semiHidden/>
    <w:rsid w:val="00D615F2"/>
    <w:rPr>
      <w:sz w:val="20"/>
      <w:szCs w:val="20"/>
    </w:rPr>
  </w:style>
  <w:style w:type="paragraph" w:styleId="CommentSubject">
    <w:name w:val="annotation subject"/>
    <w:basedOn w:val="CommentText"/>
    <w:next w:val="CommentText"/>
    <w:link w:val="CommentSubjectChar"/>
    <w:uiPriority w:val="99"/>
    <w:semiHidden/>
    <w:unhideWhenUsed/>
    <w:rsid w:val="00D615F2"/>
    <w:rPr>
      <w:b/>
      <w:bCs/>
    </w:rPr>
  </w:style>
  <w:style w:type="character" w:customStyle="1" w:styleId="CommentSubjectChar">
    <w:name w:val="Comment Subject Char"/>
    <w:basedOn w:val="CommentTextChar"/>
    <w:link w:val="CommentSubject"/>
    <w:uiPriority w:val="99"/>
    <w:semiHidden/>
    <w:rsid w:val="00D615F2"/>
    <w:rPr>
      <w:b/>
      <w:bCs/>
      <w:sz w:val="20"/>
      <w:szCs w:val="20"/>
    </w:rPr>
  </w:style>
  <w:style w:type="paragraph" w:styleId="BalloonText">
    <w:name w:val="Balloon Text"/>
    <w:basedOn w:val="Normal"/>
    <w:link w:val="BalloonTextChar"/>
    <w:uiPriority w:val="99"/>
    <w:semiHidden/>
    <w:unhideWhenUsed/>
    <w:rsid w:val="00D61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s.gov/newsroom/people-first-initiative-providing-relief-to-taxpay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newsroom/people-first-initiative-providing-relief-to-taxpay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rs.gov/newsroom/irs-employee-retention-credit-available-for-many-businesses-financially-impacted-by-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newsroom/people-first-initiative-providing-relief-to-taxpayers" TargetMode="External"/><Relationship Id="rId5" Type="http://schemas.openxmlformats.org/officeDocument/2006/relationships/styles" Target="styles.xml"/><Relationship Id="rId15" Type="http://schemas.openxmlformats.org/officeDocument/2006/relationships/hyperlink" Target="https://www.irs.gov/newsroom/faqs-employee-retention-credit-under-the-cares-act" TargetMode="External"/><Relationship Id="rId10" Type="http://schemas.openxmlformats.org/officeDocument/2006/relationships/hyperlink" Target="https://www.irs.gov/newsroom/people-first-initiative-providing-relief-to-taxpaye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s.gov/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4C7E5-4BE0-499C-A69E-9F4C69DB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B19372-F518-4481-B623-92AF7F4BF7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5709F-E869-43D2-A49A-0A2E399FD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2953</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 </cp:lastModifiedBy>
  <cp:revision>2</cp:revision>
  <dcterms:created xsi:type="dcterms:W3CDTF">2020-06-02T19:11:00Z</dcterms:created>
  <dcterms:modified xsi:type="dcterms:W3CDTF">2020-06-02T19:11:00Z</dcterms:modified>
</cp:coreProperties>
</file>